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DAA" w:rsidRDefault="00605DAA" w:rsidP="00605DAA">
      <w:pPr>
        <w:pStyle w:val="1"/>
      </w:pPr>
      <w:r>
        <w:t>(109-68-2 )2-戊烯的理化及危险特性表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605DA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标</w:t>
            </w:r>
          </w:p>
          <w:p w:rsidR="00605DAA" w:rsidRDefault="00605DAA" w:rsidP="0090435F">
            <w:pPr>
              <w:spacing w:line="264"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中文名：</w:t>
            </w:r>
            <w:r>
              <w:rPr>
                <w:rFonts w:ascii="宋体" w:hAnsi="宋体" w:hint="eastAsia"/>
                <w:szCs w:val="18"/>
              </w:rPr>
              <w:t>2-戊烯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spacing w:val="-8"/>
              </w:rPr>
            </w:pPr>
            <w:r>
              <w:rPr>
                <w:rFonts w:ascii="宋体" w:hAnsi="宋体" w:hint="eastAsia"/>
              </w:rPr>
              <w:t>英文名</w:t>
            </w:r>
            <w:r>
              <w:rPr>
                <w:rFonts w:ascii="宋体" w:hAnsi="宋体" w:hint="eastAsia"/>
                <w:lang w:val="en-GB"/>
              </w:rPr>
              <w:t>：</w:t>
            </w:r>
            <w:r>
              <w:rPr>
                <w:rFonts w:ascii="宋体" w:hAnsi="宋体" w:hint="eastAsia"/>
                <w:szCs w:val="18"/>
              </w:rPr>
              <w:t>2-pentene </w:t>
            </w:r>
          </w:p>
        </w:tc>
      </w:tr>
      <w:tr w:rsidR="00605DAA" w:rsidTr="0090435F">
        <w:trPr>
          <w:cantSplit/>
          <w:jc w:val="center"/>
        </w:trPr>
        <w:tc>
          <w:tcPr>
            <w:tcW w:w="489" w:type="dxa"/>
            <w:vMerge/>
            <w:tcBorders>
              <w:left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10</w:t>
            </w:r>
          </w:p>
        </w:tc>
        <w:tc>
          <w:tcPr>
            <w:tcW w:w="2568"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color w:val="FF6600"/>
              </w:rPr>
            </w:pPr>
            <w:r>
              <w:rPr>
                <w:rFonts w:ascii="宋体" w:hAnsi="宋体" w:hint="eastAsia"/>
              </w:rPr>
              <w:t>分子量： 70.14</w:t>
            </w:r>
          </w:p>
        </w:tc>
        <w:tc>
          <w:tcPr>
            <w:tcW w:w="2170"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UN编号：</w:t>
            </w:r>
          </w:p>
        </w:tc>
      </w:tr>
      <w:tr w:rsidR="00605DAA" w:rsidTr="0090435F">
        <w:trPr>
          <w:cantSplit/>
          <w:jc w:val="center"/>
        </w:trPr>
        <w:tc>
          <w:tcPr>
            <w:tcW w:w="489" w:type="dxa"/>
            <w:vMerge/>
            <w:tcBorders>
              <w:left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危规号： 31006</w:t>
            </w:r>
          </w:p>
        </w:tc>
        <w:tc>
          <w:tcPr>
            <w:tcW w:w="2170"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CAS号：</w:t>
            </w:r>
            <w:r>
              <w:rPr>
                <w:rFonts w:ascii="宋体" w:hAnsi="宋体" w:hint="eastAsia"/>
                <w:szCs w:val="18"/>
              </w:rPr>
              <w:t>109-68-2 </w:t>
            </w:r>
          </w:p>
        </w:tc>
      </w:tr>
      <w:tr w:rsidR="00605DAA" w:rsidTr="0090435F">
        <w:trPr>
          <w:cantSplit/>
          <w:jc w:val="center"/>
        </w:trPr>
        <w:tc>
          <w:tcPr>
            <w:tcW w:w="489" w:type="dxa"/>
            <w:vMerge/>
            <w:tcBorders>
              <w:left w:val="single" w:sz="4" w:space="0" w:color="auto"/>
              <w:bottom w:val="nil"/>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包装类别：Ⅰ类</w:t>
            </w:r>
          </w:p>
        </w:tc>
      </w:tr>
      <w:tr w:rsidR="00605DA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理</w:t>
            </w:r>
          </w:p>
          <w:p w:rsidR="00605DAA" w:rsidRDefault="00605DAA" w:rsidP="0090435F">
            <w:pPr>
              <w:spacing w:line="264" w:lineRule="exact"/>
              <w:rPr>
                <w:rFonts w:ascii="宋体" w:hAnsi="宋体"/>
              </w:rPr>
            </w:pPr>
            <w:r>
              <w:rPr>
                <w:rFonts w:ascii="宋体" w:hAnsi="宋体" w:hint="eastAsia"/>
              </w:rPr>
              <w:t>化</w:t>
            </w:r>
          </w:p>
          <w:p w:rsidR="00605DAA" w:rsidRDefault="00605DAA" w:rsidP="0090435F">
            <w:pPr>
              <w:spacing w:line="264" w:lineRule="exact"/>
              <w:rPr>
                <w:rFonts w:ascii="宋体" w:hAnsi="宋体"/>
              </w:rPr>
            </w:pPr>
            <w:r>
              <w:rPr>
                <w:rFonts w:ascii="宋体" w:hAnsi="宋体" w:hint="eastAsia"/>
              </w:rPr>
              <w:t>性</w:t>
            </w:r>
          </w:p>
          <w:p w:rsidR="00605DAA" w:rsidRDefault="00605DAA" w:rsidP="0090435F">
            <w:pPr>
              <w:spacing w:line="26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外观与性状：</w:t>
            </w:r>
            <w:r>
              <w:rPr>
                <w:rFonts w:ascii="宋体" w:hAnsi="宋体" w:hint="eastAsia"/>
                <w:szCs w:val="18"/>
              </w:rPr>
              <w:t>无色液体。</w:t>
            </w:r>
          </w:p>
        </w:tc>
      </w:tr>
      <w:tr w:rsidR="00605DA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溶解性 ：</w:t>
            </w:r>
            <w:r>
              <w:rPr>
                <w:rFonts w:ascii="宋体" w:hAnsi="宋体" w:hint="eastAsia"/>
                <w:szCs w:val="18"/>
              </w:rPr>
              <w:t>不溶于水，可混溶于乙醇、乙醚等。</w:t>
            </w:r>
          </w:p>
        </w:tc>
      </w:tr>
      <w:tr w:rsidR="00605DA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熔点（℃）：</w:t>
            </w:r>
            <w:r>
              <w:rPr>
                <w:rFonts w:ascii="宋体" w:hAnsi="宋体" w:hint="eastAsia"/>
                <w:szCs w:val="18"/>
              </w:rPr>
              <w:t>-179(顺)</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沸点（℃）：37</w:t>
            </w:r>
            <w:r>
              <w:rPr>
                <w:rFonts w:ascii="宋体" w:hAnsi="宋体" w:hint="eastAsia"/>
                <w:szCs w:val="18"/>
              </w:rPr>
              <w:t>(顺)</w:t>
            </w:r>
          </w:p>
        </w:tc>
      </w:tr>
      <w:tr w:rsidR="00605DA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相对密度（水＝1）：</w:t>
            </w:r>
            <w:r>
              <w:rPr>
                <w:rFonts w:ascii="宋体" w:hAnsi="宋体" w:hint="eastAsia"/>
                <w:szCs w:val="18"/>
              </w:rPr>
              <w:t>0.65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相对密度（空气＝1）：2.41</w:t>
            </w:r>
          </w:p>
        </w:tc>
      </w:tr>
      <w:tr w:rsidR="00605DA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饱和蒸气压（kPa）：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燃烧热（kJ/mol）：</w:t>
            </w:r>
            <w:r>
              <w:rPr>
                <w:rFonts w:ascii="宋体" w:hAnsi="宋体" w:hint="eastAsia"/>
                <w:szCs w:val="18"/>
              </w:rPr>
              <w:t>无资料</w:t>
            </w:r>
          </w:p>
        </w:tc>
      </w:tr>
      <w:tr w:rsidR="00605DA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临界温度（℃）：</w:t>
            </w:r>
            <w:r>
              <w:rPr>
                <w:rFonts w:ascii="宋体" w:hAnsi="宋体" w:hint="eastAsia"/>
                <w:szCs w:val="18"/>
              </w:rPr>
              <w:t>202.4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临界压力（MPa）：4.09</w:t>
            </w:r>
          </w:p>
        </w:tc>
      </w:tr>
      <w:tr w:rsidR="00605DA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燃</w:t>
            </w:r>
          </w:p>
          <w:p w:rsidR="00605DAA" w:rsidRDefault="00605DAA" w:rsidP="0090435F">
            <w:pPr>
              <w:spacing w:line="264" w:lineRule="exact"/>
              <w:rPr>
                <w:rFonts w:ascii="宋体" w:hAnsi="宋体"/>
              </w:rPr>
            </w:pPr>
            <w:r>
              <w:rPr>
                <w:rFonts w:ascii="宋体" w:hAnsi="宋体" w:hint="eastAsia"/>
              </w:rPr>
              <w:t>烧</w:t>
            </w:r>
          </w:p>
          <w:p w:rsidR="00605DAA" w:rsidRDefault="00605DAA" w:rsidP="0090435F">
            <w:pPr>
              <w:spacing w:line="264" w:lineRule="exact"/>
              <w:rPr>
                <w:rFonts w:ascii="宋体" w:hAnsi="宋体"/>
              </w:rPr>
            </w:pPr>
            <w:r>
              <w:rPr>
                <w:rFonts w:ascii="宋体" w:hAnsi="宋体" w:hint="eastAsia"/>
              </w:rPr>
              <w:t>爆</w:t>
            </w:r>
          </w:p>
          <w:p w:rsidR="00605DAA" w:rsidRDefault="00605DAA" w:rsidP="0090435F">
            <w:pPr>
              <w:spacing w:line="264" w:lineRule="exact"/>
              <w:rPr>
                <w:rFonts w:ascii="宋体" w:hAnsi="宋体"/>
              </w:rPr>
            </w:pPr>
            <w:r>
              <w:rPr>
                <w:rFonts w:ascii="宋体" w:hAnsi="宋体" w:hint="eastAsia"/>
              </w:rPr>
              <w:t>炸</w:t>
            </w:r>
          </w:p>
          <w:p w:rsidR="00605DAA" w:rsidRDefault="00605DAA" w:rsidP="0090435F">
            <w:pPr>
              <w:spacing w:line="264" w:lineRule="exact"/>
              <w:rPr>
                <w:rFonts w:ascii="宋体" w:hAnsi="宋体"/>
              </w:rPr>
            </w:pPr>
            <w:r>
              <w:rPr>
                <w:rFonts w:ascii="宋体" w:hAnsi="宋体" w:hint="eastAsia"/>
              </w:rPr>
              <w:t>危</w:t>
            </w:r>
          </w:p>
          <w:p w:rsidR="00605DAA" w:rsidRDefault="00605DAA" w:rsidP="0090435F">
            <w:pPr>
              <w:spacing w:line="264" w:lineRule="exact"/>
              <w:rPr>
                <w:rFonts w:ascii="宋体" w:hAnsi="宋体"/>
              </w:rPr>
            </w:pPr>
            <w:r>
              <w:rPr>
                <w:rFonts w:ascii="宋体" w:hAnsi="宋体" w:hint="eastAsia"/>
              </w:rPr>
              <w:t>险</w:t>
            </w:r>
          </w:p>
          <w:p w:rsidR="00605DAA" w:rsidRDefault="00605DAA" w:rsidP="0090435F">
            <w:pPr>
              <w:spacing w:line="264"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闪点（℃）： -45</w:t>
            </w:r>
          </w:p>
        </w:tc>
      </w:tr>
      <w:tr w:rsidR="00605DAA" w:rsidTr="0090435F">
        <w:trPr>
          <w:cantSplit/>
          <w:jc w:val="center"/>
        </w:trPr>
        <w:tc>
          <w:tcPr>
            <w:tcW w:w="489" w:type="dxa"/>
            <w:vMerge/>
            <w:tcBorders>
              <w:top w:val="single" w:sz="4" w:space="0" w:color="auto"/>
              <w:left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vertAlign w:val="superscript"/>
              </w:rPr>
            </w:pPr>
            <w:r>
              <w:rPr>
                <w:rFonts w:ascii="宋体" w:hAnsi="宋体" w:hint="eastAsia"/>
              </w:rPr>
              <w:t>爆炸下限（%）：1.4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爆炸上限（%）：</w:t>
            </w:r>
            <w:r>
              <w:rPr>
                <w:rFonts w:ascii="宋体" w:hAnsi="宋体" w:hint="eastAsia"/>
                <w:szCs w:val="18"/>
              </w:rPr>
              <w:t>无资料</w:t>
            </w:r>
          </w:p>
        </w:tc>
      </w:tr>
      <w:tr w:rsidR="00605DAA" w:rsidTr="0090435F">
        <w:trPr>
          <w:cantSplit/>
          <w:jc w:val="center"/>
        </w:trPr>
        <w:tc>
          <w:tcPr>
            <w:tcW w:w="489" w:type="dxa"/>
            <w:vMerge/>
            <w:tcBorders>
              <w:top w:val="single" w:sz="4" w:space="0" w:color="auto"/>
              <w:left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引燃温度（℃）：</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最小点火能（mJ）：</w:t>
            </w:r>
            <w:r>
              <w:rPr>
                <w:rFonts w:ascii="宋体" w:hAnsi="宋体" w:hint="eastAsia"/>
                <w:szCs w:val="18"/>
              </w:rPr>
              <w:t>0.51</w:t>
            </w:r>
          </w:p>
        </w:tc>
      </w:tr>
      <w:tr w:rsidR="00605DAA" w:rsidTr="0090435F">
        <w:trPr>
          <w:cantSplit/>
          <w:jc w:val="center"/>
        </w:trPr>
        <w:tc>
          <w:tcPr>
            <w:tcW w:w="489" w:type="dxa"/>
            <w:vMerge/>
            <w:tcBorders>
              <w:left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稳定性： 稳定</w:t>
            </w:r>
          </w:p>
        </w:tc>
      </w:tr>
      <w:tr w:rsidR="00605DAA" w:rsidTr="0090435F">
        <w:trPr>
          <w:cantSplit/>
          <w:jc w:val="center"/>
        </w:trPr>
        <w:tc>
          <w:tcPr>
            <w:tcW w:w="489" w:type="dxa"/>
            <w:vMerge/>
            <w:tcBorders>
              <w:left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605DAA" w:rsidTr="0090435F">
        <w:trPr>
          <w:cantSplit/>
          <w:jc w:val="center"/>
        </w:trPr>
        <w:tc>
          <w:tcPr>
            <w:tcW w:w="489" w:type="dxa"/>
            <w:vMerge/>
            <w:tcBorders>
              <w:left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color w:val="000000"/>
              </w:rPr>
              <w:t>禁忌物：</w:t>
            </w:r>
            <w:r>
              <w:rPr>
                <w:rFonts w:ascii="宋体" w:hAnsi="宋体" w:hint="eastAsia"/>
                <w:szCs w:val="18"/>
              </w:rPr>
              <w:t>强氧化剂、强酸。</w:t>
            </w:r>
          </w:p>
        </w:tc>
      </w:tr>
      <w:tr w:rsidR="00605DAA"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其蒸气与空气可形成爆炸性混合物，遇明火、高热能引起燃烧爆炸。在火场中，受热的容器有爆炸危险。其蒸气比空气重，能在较低处扩散到相当远的地方，遇火源会着火回燃。</w:t>
            </w:r>
          </w:p>
        </w:tc>
      </w:tr>
      <w:tr w:rsidR="00605DAA" w:rsidTr="0090435F">
        <w:trPr>
          <w:cantSplit/>
          <w:jc w:val="center"/>
        </w:trPr>
        <w:tc>
          <w:tcPr>
            <w:tcW w:w="489" w:type="dxa"/>
            <w:vMerge/>
            <w:tcBorders>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605DA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毒</w:t>
            </w:r>
          </w:p>
          <w:p w:rsidR="00605DAA" w:rsidRDefault="00605DAA" w:rsidP="0090435F">
            <w:pPr>
              <w:spacing w:line="264"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605DAA" w:rsidRDefault="00605DAA" w:rsidP="0090435F">
            <w:pPr>
              <w:spacing w:line="26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05DA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侵入途经：吸入、食入、经皮吸收。</w:t>
            </w:r>
          </w:p>
        </w:tc>
      </w:tr>
      <w:tr w:rsidR="00605DAA"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szCs w:val="18"/>
              </w:rPr>
              <w:t>本品有麻醉作用，对眼睛、呼吸道和皮肤有刺激性。吸入后引起头痛、头晕、恶心、虚弱、四肢无力等。</w:t>
            </w:r>
          </w:p>
        </w:tc>
      </w:tr>
      <w:tr w:rsidR="00605DAA" w:rsidTr="0090435F">
        <w:trPr>
          <w:cantSplit/>
          <w:jc w:val="center"/>
        </w:trPr>
        <w:tc>
          <w:tcPr>
            <w:tcW w:w="489" w:type="dxa"/>
            <w:tcBorders>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急</w:t>
            </w:r>
          </w:p>
          <w:p w:rsidR="00605DAA" w:rsidRDefault="00605DAA" w:rsidP="0090435F">
            <w:pPr>
              <w:spacing w:line="26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   ※食入：饮足量温水，催吐。就医。</w:t>
            </w:r>
          </w:p>
        </w:tc>
      </w:tr>
      <w:tr w:rsidR="00605DA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防</w:t>
            </w:r>
          </w:p>
          <w:p w:rsidR="00605DAA" w:rsidRDefault="00605DAA" w:rsidP="0090435F">
            <w:pPr>
              <w:spacing w:line="26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605DA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泄</w:t>
            </w:r>
          </w:p>
          <w:p w:rsidR="00605DAA" w:rsidRDefault="00605DAA" w:rsidP="0090435F">
            <w:pPr>
              <w:spacing w:line="264" w:lineRule="exact"/>
              <w:rPr>
                <w:rFonts w:ascii="宋体" w:hAnsi="宋体"/>
              </w:rPr>
            </w:pPr>
            <w:r>
              <w:rPr>
                <w:rFonts w:ascii="宋体" w:hAnsi="宋体" w:hint="eastAsia"/>
              </w:rPr>
              <w:t>漏</w:t>
            </w:r>
          </w:p>
          <w:p w:rsidR="00605DAA" w:rsidRDefault="00605DAA" w:rsidP="0090435F">
            <w:pPr>
              <w:spacing w:line="264" w:lineRule="exact"/>
              <w:rPr>
                <w:rFonts w:ascii="宋体" w:hAnsi="宋体"/>
              </w:rPr>
            </w:pPr>
            <w:r>
              <w:rPr>
                <w:rFonts w:ascii="宋体" w:hAnsi="宋体" w:hint="eastAsia"/>
              </w:rPr>
              <w:t>处</w:t>
            </w:r>
          </w:p>
          <w:p w:rsidR="00605DAA" w:rsidRDefault="00605DAA" w:rsidP="0090435F">
            <w:pPr>
              <w:spacing w:line="264"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05DAA" w:rsidRDefault="00605DAA" w:rsidP="0090435F">
            <w:pPr>
              <w:spacing w:line="264"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605DAA" w:rsidTr="0090435F">
        <w:trPr>
          <w:cantSplit/>
          <w:jc w:val="center"/>
        </w:trPr>
        <w:tc>
          <w:tcPr>
            <w:tcW w:w="489" w:type="dxa"/>
            <w:tcBorders>
              <w:top w:val="single" w:sz="4" w:space="0" w:color="auto"/>
              <w:left w:val="single" w:sz="4" w:space="0" w:color="auto"/>
              <w:right w:val="single" w:sz="4" w:space="0" w:color="auto"/>
            </w:tcBorders>
            <w:vAlign w:val="center"/>
          </w:tcPr>
          <w:p w:rsidR="00605DAA" w:rsidRDefault="00605DAA" w:rsidP="0090435F">
            <w:pPr>
              <w:spacing w:line="264" w:lineRule="exact"/>
              <w:rPr>
                <w:rFonts w:ascii="宋体" w:hAnsi="宋体"/>
              </w:rPr>
            </w:pPr>
            <w:r>
              <w:rPr>
                <w:rFonts w:ascii="宋体" w:hAnsi="宋体" w:hint="eastAsia"/>
              </w:rPr>
              <w:t>储</w:t>
            </w:r>
          </w:p>
          <w:p w:rsidR="00605DAA" w:rsidRDefault="00605DAA" w:rsidP="0090435F">
            <w:pPr>
              <w:spacing w:line="26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05DAA" w:rsidRDefault="00605DAA" w:rsidP="0090435F">
            <w:pPr>
              <w:spacing w:line="264"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分开存放，切忌混储。采用防爆型照明、通风设施。禁止使用易产生火花的机械设备和工具。储区应备有泄漏应急处理设备和合适的收容材料。</w:t>
            </w:r>
          </w:p>
          <w:p w:rsidR="00605DAA" w:rsidRDefault="00605DAA" w:rsidP="0090435F">
            <w:pPr>
              <w:spacing w:line="264"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AA"/>
    <w:rsid w:val="00605DA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5E0CC-2E9A-49EC-BD45-2921B4EC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05DA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05DA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Company>zyhq</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